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5881" w:right="0" w:firstLine="0"/>
        <w:jc w:val="left"/>
        <w:rPr>
          <w:sz w:val="18"/>
        </w:rPr>
      </w:pPr>
      <w:r>
        <w:rPr>
          <w:sz w:val="18"/>
        </w:rPr>
        <w:t xml:space="preserve">Octubre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Octubre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2/11/2023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9:24.30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DcbhU1QAAAAQBAAAPAAAAAAAAAAEAIAAAACIAAABkcnMv&#10;ZG93bnJldi54bWxQSwECFAAUAAAACACHTuJA+itSIz8CAAACBQAADgAAAAAAAAABACAAAAAkAQAA&#10;ZHJzL2Uyb0RvYy54bWxQSwUGAAAAAAYABgBZAQAA1QUAAAAA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9525" r="0" b="9525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60288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Ykkn/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B648F"/>
    <w:rsid w:val="289F7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2023-11-02T15:41:00Z</dcterms:created>
  <dc:creator>maria.equite</dc:creator>
  <cp:lastModifiedBy>evelyn.escobar</cp:lastModifiedBy>
  <dcterms:modified xsi:type="dcterms:W3CDTF">2023-11-21T20:15:39Z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2023-11-02T00:00:00Z</vt:filetime>
  </property>
  <property fmtid="{D5CDD505-2E9C-101B-9397-08002B2CF9AE}" pid="4" name="KSOProductBuildVer">
    <vt:lpwstr>2058-12.2.0.13306</vt:lpwstr>
  </property>
  <property fmtid="{D5CDD505-2E9C-101B-9397-08002B2CF9AE}" pid="5" name="ICV">
    <vt:lpwstr>272E6B11A9F245359525CE2F50009CA3_13</vt:lpwstr>
  </property>
</Properties>
</file>