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7" w:line="210" w:lineRule="exact"/>
        <w:ind w:left="4377" w:right="0"/>
        <w:jc w:val="left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spacing w:before="0" w:line="233" w:lineRule="exact"/>
        <w:ind w:left="3348" w:right="21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>
      <w:pPr>
        <w:spacing w:before="23" w:line="208" w:lineRule="auto"/>
        <w:ind w:left="3348" w:right="27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>
      <w:pPr>
        <w:spacing w:before="0" w:line="225" w:lineRule="exact"/>
        <w:ind w:left="3348" w:right="21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 en Quetzales</w:t>
      </w:r>
    </w:p>
    <w:p>
      <w:pPr>
        <w:spacing w:before="0" w:line="202" w:lineRule="exact"/>
        <w:ind w:left="5961" w:right="0" w:firstLine="0"/>
        <w:jc w:val="left"/>
        <w:rPr>
          <w:sz w:val="18"/>
        </w:rPr>
      </w:pPr>
      <w:r>
        <w:rPr>
          <w:sz w:val="18"/>
        </w:rPr>
        <w:t xml:space="preserve">Agosto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Agosto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4/09/2023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9:07.08</w:t>
      </w:r>
    </w:p>
    <w:p>
      <w:pPr>
        <w:pStyle w:val="6"/>
        <w:spacing w:before="3"/>
        <w:rPr>
          <w:rFonts w:ascii="Times New Roman"/>
          <w:b/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6"/>
        <w:spacing w:before="2"/>
        <w:rPr>
          <w:rFonts w:ascii="Times New Roman"/>
          <w:b/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>
      <w:pPr>
        <w:pStyle w:val="6"/>
        <w:spacing w:before="9"/>
        <w:rPr>
          <w:rFonts w:ascii="Times New Roman"/>
          <w:b/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pStyle w:val="6"/>
        <w:spacing w:before="2"/>
        <w:rPr>
          <w:sz w:val="11"/>
        </w:rPr>
      </w:pPr>
    </w:p>
    <w:p>
      <w:pPr>
        <w:pStyle w:val="6"/>
        <w:spacing w:line="30" w:lineRule="exact"/>
        <w:ind w:left="89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>
      <w:pPr>
        <w:pStyle w:val="6"/>
        <w:spacing w:before="124" w:line="292" w:lineRule="auto"/>
        <w:ind w:left="72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9525" r="0" b="9525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39.2pt;height:0pt;width:739.55pt;mso-position-horizontal-relative:page;z-index:251659264;mso-width-relative:page;mso-height-relative:page;" filled="f" stroked="t" coordsize="21600,21600" o:gfxdata="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qtjPtYAAAAJAQAA&#10;DwAAAAAAAAABACAAAAAiAAAAZHJzL2Rvd25yZXYueG1sUEsBAhQAFAAAAAgAh07iQFJ6GU7iAQAA&#10;3AMAAA4AAAAAAAAAAQAgAAAAJQ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t>31-PROTECCIÓN, CONSERVACIÓN Y RESTAURACIÓN PARA EL USO SOSTENIBLE DE LAS ÁREAS PROTEGIDAS DEL SISTEMA GUATEMALTECO DE ÁREAS PROTEGIDAS -SIGAP- Y LA DIVERSIDAD</w:t>
      </w:r>
      <w:r>
        <w:rPr>
          <w:spacing w:val="8"/>
        </w:rPr>
        <w:t xml:space="preserve"> </w:t>
      </w:r>
      <w:r>
        <w:t>BIOLÓGICA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145"/>
        <w:ind w:left="218"/>
      </w:pPr>
      <w:r>
        <w:t>139,328,000.00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>
      <w:pPr>
        <w:spacing w:after="0"/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73" w:space="2141"/>
            <w:col w:w="1384" w:space="1669"/>
            <w:col w:w="2933"/>
          </w:cols>
        </w:sectPr>
      </w:pPr>
    </w:p>
    <w:p>
      <w:pPr>
        <w:pStyle w:val="6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spacing w:before="9"/>
        <w:rPr>
          <w:sz w:val="18"/>
        </w:rPr>
      </w:pPr>
    </w:p>
    <w:p>
      <w:pPr>
        <w:spacing w:before="0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pStyle w:val="3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8B4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3348" w:right="21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qFormat/>
    <w:uiPriority w:val="1"/>
    <w:pPr>
      <w:spacing w:before="95"/>
      <w:outlineLvl w:val="2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16"/>
      <w:szCs w:val="16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Office_12.2.0.13190_F1E327BC-269C-435d-A152-05C5408002CA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2023-09-04T15:49:00Z</dcterms:created>
  <dc:creator>maria.equite</dc:creator>
  <cp:lastModifiedBy>maria.equite</cp:lastModifiedBy>
  <dcterms:modified xsi:type="dcterms:W3CDTF">2023-09-04T15:53:19Z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2023-09-04T00:00:00Z</vt:filetime>
  </property>
  <property fmtid="{D5CDD505-2E9C-101B-9397-08002B2CF9AE}" pid="4" name="KSOProductBuildVer">
    <vt:lpwstr>2058-12.2.0.13190</vt:lpwstr>
  </property>
  <property fmtid="{D5CDD505-2E9C-101B-9397-08002B2CF9AE}" pid="5" name="ICV">
    <vt:lpwstr>0E66F34960304ADB956DC96A1B4A54FE_13</vt:lpwstr>
  </property>
</Properties>
</file>