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2023</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01/08/2023</w:t>
      </w:r>
      <w:r>
        <w:rPr>
          <w:position w:val="2"/>
          <w:sz w:val="16"/>
        </w:rPr>
        <w:tab/>
      </w:r>
      <w:r>
        <w:rPr>
          <w:b/>
          <w:sz w:val="16"/>
        </w:rPr>
        <w:t>al</w:t>
      </w:r>
      <w:r>
        <w:rPr>
          <w:b/>
          <w:spacing w:val="38"/>
          <w:sz w:val="16"/>
        </w:rPr>
        <w:t xml:space="preserve"> </w:t>
      </w:r>
      <w:r>
        <w:rPr>
          <w:b/>
          <w:position w:val="2"/>
          <w:sz w:val="16"/>
        </w:rPr>
        <w:t>31/08/2023</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4/09/2023</w:t>
      </w:r>
    </w:p>
    <w:p>
      <w:pPr>
        <w:spacing w:before="56"/>
        <w:ind w:left="272" w:right="0" w:firstLine="0"/>
        <w:jc w:val="left"/>
        <w:rPr>
          <w:b/>
          <w:sz w:val="16"/>
        </w:rPr>
      </w:pPr>
      <w:r>
        <w:rPr>
          <w:b/>
          <w:sz w:val="16"/>
        </w:rPr>
        <w:t>12:22.38</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right="37"/>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894080</wp:posOffset>
                </wp:positionV>
                <wp:extent cx="9752965" cy="0"/>
                <wp:effectExtent l="0" t="6350" r="0" b="635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70.4pt;height:0pt;width:767.95pt;mso-position-horizontal-relative:page;z-index:251659264;mso-width-relative:page;mso-height-relative:page;" filled="f" stroked="t" coordsize="21600,21600" o:gfxdata="UEsDBAoAAAAAAIdO4kAAAAAAAAAAAAAAAAAEAAAAZHJzL1BLAwQUAAAACACHTuJA9fzkkNcAAAAK&#10;AQAADwAAAGRycy9kb3ducmV2LnhtbE2PS0/DMBCE70j8B2uRuFE7VR9RiNMDqKpAXNoicd3GSxyI&#10;7TR2H/x7thJSOe7MaPabcnF2nTjSENvgNWQjBYJ8HUzrGw3v2+VDDiIm9Aa74EnDD0VYVLc3JRYm&#10;nPyajpvUCC7xsUANNqW+kDLWlhzGUejJs/cZBoeJz6GRZsATl7tOjpWaSYet5w8We3qyVH9vDk4D&#10;Pq/W6SMfv87bF/v2tV3uVzbfa31/l6lHEInO6RqGCz6jQ8VMu3DwJopOw3TOQZYnihdc/Okkm4HY&#10;/UmyKuX/C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X85JDXAAAACg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31-PROTECCIÓN, CONSERVACIÓN Y RESTAURACIÓN PARA EL USO SOSTENIBLE DE LAS ÁREAS PROTEGIDAS DEL SISTEMA GUATEMALTECO DE ÁREAS PROTEGIDAS -SIGAP- Y LA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139,328,000.00</w:t>
      </w:r>
      <w:r>
        <w:rPr>
          <w:w w:val="105"/>
          <w:sz w:val="10"/>
        </w:rPr>
        <w:tab/>
      </w:r>
      <w:r>
        <w:rPr>
          <w:w w:val="105"/>
          <w:sz w:val="10"/>
        </w:rPr>
        <w:t>6,113,221.00</w:t>
      </w:r>
    </w:p>
    <w:p>
      <w:pPr>
        <w:pStyle w:val="6"/>
        <w:spacing w:before="8"/>
        <w:rPr>
          <w:sz w:val="10"/>
        </w:rPr>
      </w:pPr>
      <w:r>
        <w:br w:type="column"/>
      </w:r>
    </w:p>
    <w:p>
      <w:pPr>
        <w:spacing w:before="0"/>
        <w:ind w:left="296" w:right="0" w:firstLine="0"/>
        <w:jc w:val="left"/>
        <w:rPr>
          <w:sz w:val="10"/>
        </w:rPr>
      </w:pPr>
      <w:r>
        <w:rPr>
          <w:w w:val="105"/>
          <w:sz w:val="10"/>
        </w:rPr>
        <w:t>-6,113,221.00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139,328,000.00</w:t>
      </w:r>
    </w:p>
    <w:p>
      <w:pPr>
        <w:spacing w:after="0"/>
        <w:jc w:val="left"/>
        <w:rPr>
          <w:sz w:val="10"/>
        </w:rPr>
        <w:sectPr>
          <w:type w:val="continuous"/>
          <w:pgSz w:w="15840" w:h="12240" w:orient="landscape"/>
          <w:pgMar w:top="120" w:right="320" w:bottom="280" w:left="0" w:header="720" w:footer="720" w:gutter="0"/>
          <w:cols w:equalWidth="0" w:num="8">
            <w:col w:w="3164" w:space="751"/>
            <w:col w:w="2126" w:space="99"/>
            <w:col w:w="924" w:space="737"/>
            <w:col w:w="521" w:space="521"/>
            <w:col w:w="521" w:space="580"/>
            <w:col w:w="521" w:space="630"/>
            <w:col w:w="521" w:space="799"/>
            <w:col w:w="3105"/>
          </w:cols>
        </w:sectPr>
      </w:pPr>
    </w:p>
    <w:p>
      <w:pPr>
        <w:spacing w:before="125"/>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75pt;height:0pt;width:581.95pt;mso-position-horizontal-relative:page;z-index:251660288;mso-width-relative:page;mso-height-relative:page;" filled="f" stroked="t" coordsize="21600,21600" o:gfxdata="UEsDBAoAAAAAAIdO4kAAAAAAAAAAAAAAAAAEAAAAZHJzL1BLAwQUAAAACACHTuJApE195tgAAAAK&#10;AQAADwAAAGRycy9kb3ducmV2LnhtbE2PsU7DMBCGdyTewTokNuoEaFJCnA5VUQeWNiCxXmITR7HP&#10;IXbb8Pa4YoDx7j799/3leraGndTke0cC0kUCTFHrZE+dgPe3l7sVMB+QJBpHSsC38rCurq9KLKQ7&#10;00Gd6tCxGEK+QAE6hLHg3LdaWfQLNyqKt083WQxxnDouJzzHcGv4fZJk3GJP8YPGUW20aof6aAWY&#10;bTNPq/1Q693+dfj62OIu36AQtzdp8gwsqDn8wXDRj+pQRafGHUl6ZgQ85HkeUQHZ0xLYBVg+ph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195t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5" w:line="290" w:lineRule="auto"/>
        <w:ind w:left="138" w:right="38" w:firstLine="0"/>
        <w:jc w:val="both"/>
        <w:rPr>
          <w:b/>
          <w:sz w:val="14"/>
        </w:rPr>
      </w:pPr>
      <w:r>
        <w:br w:type="column"/>
      </w:r>
      <w:r>
        <w:rPr>
          <w:b/>
          <w:sz w:val="14"/>
        </w:rPr>
        <w:t>11130016-217-CONSEJO NACIONAL DE ÁREAS PROTEGIDAS</w:t>
      </w:r>
    </w:p>
    <w:p>
      <w:pPr>
        <w:tabs>
          <w:tab w:val="left" w:pos="1481"/>
        </w:tabs>
        <w:spacing w:before="106"/>
        <w:ind w:left="296" w:right="0" w:firstLine="0"/>
        <w:jc w:val="left"/>
        <w:rPr>
          <w:b/>
          <w:sz w:val="10"/>
        </w:rPr>
      </w:pPr>
      <w:r>
        <w:br w:type="column"/>
      </w:r>
      <w:r>
        <w:rPr>
          <w:b/>
          <w:w w:val="105"/>
          <w:sz w:val="10"/>
        </w:rPr>
        <w:t>139,328,000.00</w:t>
      </w:r>
      <w:r>
        <w:rPr>
          <w:w w:val="105"/>
          <w:sz w:val="10"/>
        </w:rPr>
        <w:tab/>
      </w:r>
      <w:r>
        <w:rPr>
          <w:b/>
          <w:w w:val="105"/>
          <w:sz w:val="10"/>
        </w:rPr>
        <w:t>6,113,221.00</w:t>
      </w:r>
    </w:p>
    <w:p>
      <w:pPr>
        <w:spacing w:before="106"/>
        <w:ind w:left="296" w:right="0" w:firstLine="0"/>
        <w:jc w:val="left"/>
        <w:rPr>
          <w:b/>
          <w:sz w:val="10"/>
        </w:rPr>
      </w:pPr>
      <w:r>
        <w:br w:type="column"/>
      </w:r>
      <w:r>
        <w:rPr>
          <w:b/>
          <w:w w:val="105"/>
          <w:sz w:val="10"/>
        </w:rPr>
        <w:t>-6,113,221.00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tabs>
          <w:tab w:val="left" w:pos="1496"/>
          <w:tab w:val="left" w:pos="2338"/>
        </w:tabs>
        <w:spacing w:before="106"/>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139,328,000.00</w:t>
      </w:r>
      <w:r>
        <w:rPr>
          <w:w w:val="105"/>
          <w:sz w:val="10"/>
        </w:rPr>
        <w:tab/>
      </w:r>
      <w:r>
        <w:rPr>
          <w:b/>
          <w:w w:val="105"/>
          <w:sz w:val="10"/>
        </w:rPr>
        <w:t>6,113,221.00</w:t>
      </w:r>
    </w:p>
    <w:p>
      <w:pPr>
        <w:spacing w:before="102"/>
        <w:ind w:left="297" w:right="0" w:firstLine="0"/>
        <w:jc w:val="left"/>
        <w:rPr>
          <w:b/>
          <w:sz w:val="10"/>
        </w:rPr>
      </w:pPr>
      <w:r>
        <w:br w:type="column"/>
      </w:r>
      <w:r>
        <w:rPr>
          <w:b/>
          <w:w w:val="105"/>
          <w:sz w:val="10"/>
        </w:rPr>
        <w:t>-6,113,221.00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872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2023-09-04T18:24:00Z</dcterms:created>
  <dc:creator>daniel.rejopachi</dc:creator>
  <cp:lastModifiedBy>daniel.rejopachi</cp:lastModifiedBy>
  <dcterms:modified xsi:type="dcterms:W3CDTF">2023-09-04T18:24:57Z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2023-09-04T00:00:00Z</vt:filetime>
  </property>
  <property fmtid="{D5CDD505-2E9C-101B-9397-08002B2CF9AE}" pid="4" name="KSOProductBuildVer">
    <vt:lpwstr>2058-12.2.0.13201</vt:lpwstr>
  </property>
  <property fmtid="{D5CDD505-2E9C-101B-9397-08002B2CF9AE}" pid="5" name="ICV">
    <vt:lpwstr>AC85CA47CD4345309F3B1024103A8647_13</vt:lpwstr>
  </property>
</Properties>
</file>