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53,856,687.37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9,521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53,856,687.37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296,898.91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97,772.41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553,775.23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50,341.57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121,736.85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144,731.50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64,059.70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10,445,628.63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1,111,839.27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1,834,669.38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63,489.40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503,490.00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130,804.00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1,769,020.00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1,478,364.20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188,732.64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thickThinMediumGap" w:color="000000" w:sz="16" w:space="0"/>
              <w:right w:val="single" w:color="000000" w:sz="8" w:space="0"/>
            </w:tcBorders>
          </w:tcPr>
          <w:p>
            <w:pPr>
              <w:pStyle w:val="7"/>
              <w:spacing w:before="124" w:line="181" w:lineRule="exact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thickThinMediumGap" w:color="000000" w:sz="16" w:space="0"/>
              <w:right w:val="single" w:color="000000" w:sz="8" w:space="0"/>
            </w:tcBorders>
          </w:tcPr>
          <w:p>
            <w:pPr>
              <w:pStyle w:val="7"/>
              <w:spacing w:before="124" w:line="181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thickThinMediumGap" w:color="000000" w:sz="16" w:space="0"/>
              <w:right w:val="single" w:color="000000" w:sz="18" w:space="0"/>
            </w:tcBorders>
          </w:tcPr>
          <w:p>
            <w:pPr>
              <w:pStyle w:val="7"/>
              <w:spacing w:before="124" w:line="181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746,426.40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104,484.99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477,111.12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1,579,089.02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518,395.56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525,949.86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378,819.72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167,249.95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382,780.16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907,686.24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89,722.33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1,113,104.32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89,957.82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143,804.33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47,411.30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32,802.82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9,851.94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61,343.23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7,014.58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7,430.22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89,378.60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1,979,663.28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73,545.00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169,910.00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266,315.88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274,997.80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386,398.02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27,386.24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997,280.09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9,521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53,856,687.37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5" w:hanging="890"/>
                </w:pPr>
                <w:r>
                  <w:t>Sistema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22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2"/>
                  </w:rPr>
                  <w:t xml:space="preserve"> </w:t>
                </w:r>
                <w:r>
                  <w:t>Integrada</w:t>
                </w:r>
                <w:r>
                  <w:rPr>
                    <w:spacing w:val="22"/>
                  </w:rPr>
                  <w:t xml:space="preserve"> </w:t>
                </w:r>
                <w:r>
                  <w:t>Gubernamental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spacing w:val="-4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6.45pt;margin-top:17.8pt;height:9.85pt;width:13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5pt;margin-top:18.95pt;height:9.85pt;width:4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524.8pt;margin-top:30pt;height:33.85pt;width:48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16/01/2023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10:17.08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518.45pt;margin-top:30.95pt;height:21.85pt;width:4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1pt;margin-top:72.35pt;height:9.85pt;width:34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31/12/2022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9F3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2023-01-16T16:20:00Z</dcterms:created>
  <dc:creator>maria.equite</dc:creator>
  <cp:lastModifiedBy>maria.equite</cp:lastModifiedBy>
  <dcterms:modified xsi:type="dcterms:W3CDTF">2023-01-16T16:22:40Z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5F871333B4FA49DF99BDFD8053715811</vt:lpwstr>
  </property>
</Properties>
</file>