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3192"/>
        <w:gridCol w:w="3719"/>
        <w:gridCol w:w="1711"/>
        <w:gridCol w:w="1409"/>
        <w:gridCol w:w="1658"/>
        <w:gridCol w:w="1875"/>
      </w:tblGrid>
      <w:tr w:rsidR="00036C6D" w14:paraId="72DA5B3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69A4E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036C6D" w14:paraId="4E9A457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9D4EC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036C6D" w14:paraId="18E473D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7B702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036C6D" w14:paraId="4906236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D983D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036C6D" w14:paraId="375C5DF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98FC0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036C6D" w14:paraId="124FC13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E9750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036C6D" w14:paraId="2B3707D0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32249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04/01/2023</w:t>
            </w:r>
          </w:p>
        </w:tc>
      </w:tr>
      <w:tr w:rsidR="00036C6D" w14:paraId="47D06CC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3805D" w14:textId="77777777" w:rsidR="00036C6D" w:rsidRDefault="00AC725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DICIEMBRE</w:t>
            </w:r>
          </w:p>
        </w:tc>
      </w:tr>
      <w:tr w:rsidR="00036C6D" w14:paraId="14197A39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97425" w14:textId="77777777" w:rsidR="00036C6D" w:rsidRDefault="00036C6D">
            <w:pPr>
              <w:jc w:val="both"/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</w:pPr>
          </w:p>
        </w:tc>
      </w:tr>
      <w:tr w:rsidR="00036C6D" w14:paraId="37AA5A62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29AD3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036C6D" w14:paraId="713279ED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5A3141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204150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766477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9113A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16E2C5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066D6A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A07125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21792C" w14:textId="77777777" w:rsidR="00036C6D" w:rsidRDefault="00AC725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036C6D" w14:paraId="18D8B732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C7D7F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7497B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Adenda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Número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Uno a la Carta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Entendimiento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para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Fortalecimiento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Institucionalización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 Mesa Técnica para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Desarrollo Rural con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Enfoque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Género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Pueblos.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AAD14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MAGA,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MINTRAB,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MINEDUC,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MINECO,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MIDES,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MINFIN,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MSPAS,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Ministro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MARN,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Secretaria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SEGEPLAN,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Secretaria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 SESAN,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Secretaria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 SEPREM, Director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Ejecutivo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 COPADEH, Director del INE,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Gerente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INAB, Director del INGUAT,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Gerente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FONTIERRAS,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CONAP,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Comisionado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CODISRA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EB759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Acuerdan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modificar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la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Cláusula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Tercera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: Linea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Acción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Estratégica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Cláusula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Tercera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Bis: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Acuerdos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las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Partes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>,</w:t>
            </w:r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la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Cláusula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Octava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Vigencia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CBE6D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" w:eastAsia="SimSun" w:hAnsi="Arial" w:cs="Arial"/>
                <w:color w:val="000000"/>
                <w:lang w:val="es-GT" w:bidi="ar"/>
              </w:rPr>
              <w:t xml:space="preserve">Unidad </w:t>
            </w:r>
            <w:r>
              <w:rPr>
                <w:rFonts w:ascii="Arial" w:eastAsia="SimSun" w:hAnsi="Arial" w:cs="Arial"/>
                <w:color w:val="000000"/>
                <w:lang w:bidi="ar"/>
              </w:rPr>
              <w:t xml:space="preserve">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Género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Unidad de Pueblos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Indígenas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Comunidades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Locales, Unidad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Asuntos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Jurídicos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Unidad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Cooperación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Nacional 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Internacional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>.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2476B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10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años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ABC52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08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noviembre</w:t>
            </w:r>
            <w:proofErr w:type="spellEnd"/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777B8" w14:textId="77777777" w:rsidR="00036C6D" w:rsidRDefault="00AC725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08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noviembre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2032</w:t>
            </w:r>
          </w:p>
        </w:tc>
      </w:tr>
      <w:tr w:rsidR="00036C6D" w14:paraId="17A42056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8BB7A" w14:textId="77777777" w:rsidR="00036C6D" w:rsidRDefault="00036C6D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D07A4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Adenda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número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Uno al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Convenio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Cooperación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Interinstitucional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para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Uso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r>
              <w:rPr>
                <w:rFonts w:ascii="Arial" w:eastAsia="SimSun" w:hAnsi="Arial" w:cs="Arial"/>
                <w:color w:val="000000"/>
                <w:lang w:val="es-GT" w:bidi="ar"/>
              </w:rPr>
              <w:t>Instalaciones</w:t>
            </w:r>
            <w:r>
              <w:rPr>
                <w:rFonts w:ascii="Arial" w:eastAsia="SimSun" w:hAnsi="Arial" w:cs="Arial"/>
                <w:color w:val="000000"/>
                <w:lang w:bidi="ar"/>
              </w:rPr>
              <w:t xml:space="preserve"> entre la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Secretaría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Planificación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Programación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las Presidencia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Consejo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Nacional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Áreas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Protegidas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>.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B13FE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Ejecutivo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CONAP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Secretaria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S</w:t>
            </w:r>
            <w:r>
              <w:rPr>
                <w:rFonts w:ascii="Arial" w:eastAsia="SimSun" w:hAnsi="Arial" w:cs="Arial"/>
                <w:color w:val="000000"/>
                <w:lang w:bidi="ar"/>
              </w:rPr>
              <w:t>EGEPLAN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AC307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Tiene por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objeto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modificar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la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cláusula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Séptima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Condiciones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8AF85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Dirección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Administrativa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Subdirección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Petén,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Poptún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>.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26233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05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años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E131F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17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noviembre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entrando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vigencia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01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enero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2023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068E0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31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diciembre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2025</w:t>
            </w:r>
          </w:p>
        </w:tc>
      </w:tr>
      <w:tr w:rsidR="00036C6D" w14:paraId="46F3B6CD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9373F" w14:textId="77777777" w:rsidR="00036C6D" w:rsidRDefault="00036C6D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9219C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Convenio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Cooperación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entre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Consejo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Nacional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Áreas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Protegidas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-CONAP- y la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Facultad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Medicina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Veterinario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Zootecnia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 Universidad de San Carlos de Guatemala, FMVZ-USAC.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B4094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Secretario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Ejecutivo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del CONAP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Decano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 FMVZ, USAC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93E9E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Desarrollar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fortalecer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relaciones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cooperación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académica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investigación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coordinación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interinstitucional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así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como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intercambio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entre las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partes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experiencias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conocimientos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servicios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entre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investigadores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docentes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estudiantes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a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través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programas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capacitación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investigación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y del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Ejercicio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Profesional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Supervisado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la FMVZ-USAC.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3E680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Dirección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Manejo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Bosques y Vida Silvestre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E91B2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05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años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8214B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14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diciembre</w:t>
            </w:r>
            <w:proofErr w:type="spellEnd"/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22CF6" w14:textId="77777777" w:rsidR="00036C6D" w:rsidRDefault="00AC725C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lang w:bidi="ar"/>
              </w:rPr>
              <w:t xml:space="preserve">14 de </w:t>
            </w:r>
            <w:proofErr w:type="spellStart"/>
            <w:r>
              <w:rPr>
                <w:rFonts w:ascii="Arial" w:eastAsia="SimSun" w:hAnsi="Arial" w:cs="Arial"/>
                <w:color w:val="000000"/>
                <w:lang w:bidi="ar"/>
              </w:rPr>
              <w:t>diciembre</w:t>
            </w:r>
            <w:proofErr w:type="spellEnd"/>
            <w:r>
              <w:rPr>
                <w:rFonts w:ascii="Arial" w:eastAsia="SimSun" w:hAnsi="Arial" w:cs="Arial"/>
                <w:color w:val="000000"/>
                <w:lang w:bidi="ar"/>
              </w:rPr>
              <w:t xml:space="preserve"> de 2027</w:t>
            </w:r>
          </w:p>
        </w:tc>
      </w:tr>
    </w:tbl>
    <w:p w14:paraId="0EB8C3B9" w14:textId="77777777" w:rsidR="00036C6D" w:rsidRDefault="00036C6D">
      <w:pPr>
        <w:jc w:val="both"/>
        <w:rPr>
          <w:sz w:val="18"/>
          <w:lang w:val="es-GT"/>
        </w:rPr>
      </w:pPr>
    </w:p>
    <w:p w14:paraId="61393D3D" w14:textId="77777777" w:rsidR="00036C6D" w:rsidRDefault="00036C6D">
      <w:pPr>
        <w:jc w:val="both"/>
        <w:rPr>
          <w:sz w:val="18"/>
          <w:lang w:val="es-GT"/>
        </w:rPr>
      </w:pPr>
    </w:p>
    <w:p w14:paraId="6BEF2D5E" w14:textId="77777777" w:rsidR="00036C6D" w:rsidRDefault="00036C6D">
      <w:pPr>
        <w:jc w:val="both"/>
        <w:rPr>
          <w:sz w:val="18"/>
          <w:lang w:val="es-GT"/>
        </w:rPr>
      </w:pPr>
    </w:p>
    <w:p w14:paraId="51AC51AE" w14:textId="77777777" w:rsidR="00036C6D" w:rsidRDefault="00036C6D">
      <w:pPr>
        <w:jc w:val="both"/>
        <w:rPr>
          <w:sz w:val="18"/>
          <w:lang w:val="es-GT"/>
        </w:rPr>
      </w:pPr>
    </w:p>
    <w:tbl>
      <w:tblPr>
        <w:tblpPr w:leftFromText="180" w:rightFromText="180" w:vertAnchor="text" w:horzAnchor="page" w:tblpX="4376" w:tblpY="1418"/>
        <w:tblOverlap w:val="never"/>
        <w:tblW w:w="9496" w:type="dxa"/>
        <w:tblLayout w:type="fixed"/>
        <w:tblLook w:val="04A0" w:firstRow="1" w:lastRow="0" w:firstColumn="1" w:lastColumn="0" w:noHBand="0" w:noVBand="1"/>
      </w:tblPr>
      <w:tblGrid>
        <w:gridCol w:w="5115"/>
        <w:gridCol w:w="4381"/>
      </w:tblGrid>
      <w:tr w:rsidR="00036C6D" w14:paraId="78F211F3" w14:textId="77777777">
        <w:trPr>
          <w:trHeight w:val="33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54A7" w14:textId="77777777" w:rsidR="00036C6D" w:rsidRDefault="00AC725C">
            <w:pPr>
              <w:jc w:val="center"/>
              <w:textAlignment w:val="bottom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Marla Mercedes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A7FB6" w14:textId="77777777" w:rsidR="00036C6D" w:rsidRDefault="00AC725C">
            <w:pPr>
              <w:jc w:val="right"/>
              <w:textAlignment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lang w:bidi="ar"/>
              </w:rPr>
              <w:t>Vo.Bo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lang w:bidi="ar"/>
              </w:rPr>
              <w:t>.</w:t>
            </w:r>
          </w:p>
        </w:tc>
      </w:tr>
      <w:tr w:rsidR="00036C6D" w14:paraId="36320DDA" w14:textId="77777777">
        <w:trPr>
          <w:trHeight w:val="33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9740" w14:textId="77777777" w:rsidR="00036C6D" w:rsidRDefault="00AC725C">
            <w:pPr>
              <w:jc w:val="center"/>
              <w:textAlignment w:val="bottom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7BBF" w14:textId="77777777" w:rsidR="00036C6D" w:rsidRDefault="00036C6D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94A3844" w14:textId="77777777" w:rsidR="00036C6D" w:rsidRDefault="00036C6D">
      <w:pPr>
        <w:jc w:val="both"/>
        <w:rPr>
          <w:sz w:val="18"/>
          <w:lang w:val="es-GT"/>
        </w:rPr>
      </w:pPr>
    </w:p>
    <w:sectPr w:rsidR="00036C6D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F30C" w14:textId="77777777" w:rsidR="00AC725C" w:rsidRDefault="00AC725C">
      <w:r>
        <w:separator/>
      </w:r>
    </w:p>
  </w:endnote>
  <w:endnote w:type="continuationSeparator" w:id="0">
    <w:p w14:paraId="37CDAE4B" w14:textId="77777777" w:rsidR="00AC725C" w:rsidRDefault="00A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6588" w14:textId="77777777" w:rsidR="00036C6D" w:rsidRDefault="00AC725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6D32C" wp14:editId="08100D3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79C5E" w14:textId="77777777" w:rsidR="00036C6D" w:rsidRDefault="00AC725C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6D3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AD79C5E" w14:textId="77777777" w:rsidR="00036C6D" w:rsidRDefault="00AC725C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37B2" w14:textId="77777777" w:rsidR="00AC725C" w:rsidRDefault="00AC725C">
      <w:r>
        <w:separator/>
      </w:r>
    </w:p>
  </w:footnote>
  <w:footnote w:type="continuationSeparator" w:id="0">
    <w:p w14:paraId="4DDD5F9E" w14:textId="77777777" w:rsidR="00AC725C" w:rsidRDefault="00AC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B95E" w14:textId="77777777" w:rsidR="00036C6D" w:rsidRDefault="00AC725C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63B949EB" wp14:editId="5655B468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49F4425C" w14:textId="77777777" w:rsidR="00036C6D" w:rsidRDefault="00036C6D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6D"/>
    <w:rsid w:val="00036C6D"/>
    <w:rsid w:val="00AA049F"/>
    <w:rsid w:val="00AC725C"/>
    <w:rsid w:val="05D419A1"/>
    <w:rsid w:val="0EA807F5"/>
    <w:rsid w:val="1B487203"/>
    <w:rsid w:val="33667D43"/>
    <w:rsid w:val="42060325"/>
    <w:rsid w:val="465E2ADD"/>
    <w:rsid w:val="46971BE9"/>
    <w:rsid w:val="47894E80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1593"/>
  <w15:docId w15:val="{FDFA3C96-141D-4C96-87A4-6FDF780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3</cp:revision>
  <cp:lastPrinted>2023-01-04T17:09:00Z</cp:lastPrinted>
  <dcterms:created xsi:type="dcterms:W3CDTF">2023-01-13T16:26:00Z</dcterms:created>
  <dcterms:modified xsi:type="dcterms:W3CDTF">2023-01-13T16:26:00Z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DFC57244F0044AB292511E68A846FC46</vt:lpwstr>
  </property>
</Properties>
</file>