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747" w:tblpY="2676"/>
        <w:tblW w:w="1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544"/>
        <w:gridCol w:w="1739"/>
      </w:tblGrid>
      <w:tr w:rsidR="00B0724D" w14:paraId="04B63565" w14:textId="77777777">
        <w:trPr>
          <w:trHeight w:val="3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0EC4D" w14:textId="77777777" w:rsidR="00B0724D" w:rsidRDefault="00B418F9">
            <w:pPr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>ENTIDAD: CONSEJO NACIONAL DE ÁREAS PROTEGIDAS</w:t>
            </w:r>
          </w:p>
        </w:tc>
      </w:tr>
      <w:tr w:rsidR="00B0724D" w14:paraId="59BA1791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B1B10" w14:textId="77777777" w:rsidR="00B0724D" w:rsidRDefault="00B418F9">
            <w:pPr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>I.P.M  GUATEMALA</w:t>
            </w:r>
            <w:proofErr w:type="gramEnd"/>
          </w:p>
        </w:tc>
      </w:tr>
      <w:tr w:rsidR="00B0724D" w14:paraId="1A0F91FD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6FEF3" w14:textId="77777777" w:rsidR="00B0724D" w:rsidRDefault="00B418F9">
            <w:pPr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>HORARIO DE ATENCIÓN: 8:00 AM A 16:30 PM</w:t>
            </w:r>
          </w:p>
        </w:tc>
      </w:tr>
      <w:tr w:rsidR="00B0724D" w14:paraId="224392F3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044FD" w14:textId="77777777" w:rsidR="00B0724D" w:rsidRDefault="00B418F9">
            <w:pPr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>TELÉFONO: 1547</w:t>
            </w:r>
          </w:p>
        </w:tc>
      </w:tr>
      <w:tr w:rsidR="00B0724D" w14:paraId="024E78F0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9437B" w14:textId="77777777" w:rsidR="00B0724D" w:rsidRDefault="00B418F9">
            <w:pPr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>DIRECTOR (A): LICENCIADA MERLE ALEJANDRA FERNÁNDEZ</w:t>
            </w:r>
          </w:p>
        </w:tc>
      </w:tr>
      <w:tr w:rsidR="00B0724D" w14:paraId="7CA8B564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24BF5" w14:textId="77777777" w:rsidR="00B0724D" w:rsidRDefault="00B418F9">
            <w:pPr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>ENCARGADA DE ACTUALIZACIÓN: MARLA MERCEDES BOLVITO JERÓNIMO</w:t>
            </w:r>
          </w:p>
        </w:tc>
      </w:tr>
      <w:tr w:rsidR="00B0724D" w14:paraId="1654AA5D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3C7CB" w14:textId="77777777" w:rsidR="00B0724D" w:rsidRDefault="00B418F9">
            <w:pPr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 xml:space="preserve">FECHA DE ACTUALIZACIÓN: </w:t>
            </w: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val="es-ES"/>
              </w:rPr>
              <w:t>17</w:t>
            </w: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val="es-GT" w:bidi="ar"/>
              </w:rPr>
              <w:t>/</w:t>
            </w: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val="es-ES"/>
              </w:rPr>
              <w:t>03</w:t>
            </w: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val="es-GT" w:bidi="ar"/>
              </w:rPr>
              <w:t>/202</w:t>
            </w: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val="es-ES"/>
              </w:rPr>
              <w:t>2</w:t>
            </w:r>
          </w:p>
        </w:tc>
      </w:tr>
      <w:tr w:rsidR="00B0724D" w14:paraId="4983FAE8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86FC0" w14:textId="77777777" w:rsidR="00B0724D" w:rsidRDefault="00B418F9">
            <w:pPr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val="es-ES"/>
              </w:rPr>
              <w:t>FEBRERO</w:t>
            </w:r>
          </w:p>
        </w:tc>
      </w:tr>
      <w:tr w:rsidR="00B0724D" w14:paraId="74A0192D" w14:textId="77777777">
        <w:trPr>
          <w:trHeight w:val="288"/>
        </w:trPr>
        <w:tc>
          <w:tcPr>
            <w:tcW w:w="0" w:type="auto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D6E2C" w14:textId="77777777" w:rsidR="00B0724D" w:rsidRDefault="00B072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86A4C" w14:textId="77777777" w:rsidR="00B0724D" w:rsidRDefault="00B072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2B70E" w14:textId="77777777" w:rsidR="00B0724D" w:rsidRDefault="00B072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57EEF" w14:textId="77777777" w:rsidR="00B0724D" w:rsidRDefault="00B072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37169" w14:textId="77777777" w:rsidR="00B0724D" w:rsidRDefault="00B072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2BA23" w14:textId="77777777" w:rsidR="00B0724D" w:rsidRDefault="00B072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EBA742" w14:textId="77777777" w:rsidR="00B0724D" w:rsidRDefault="00B0724D">
            <w:pPr>
              <w:rPr>
                <w:rFonts w:ascii="Calibri" w:hAnsi="Calibri" w:cs="Calibri"/>
                <w:color w:val="000000"/>
                <w:sz w:val="18"/>
                <w:szCs w:val="23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7C60F3" w14:textId="77777777" w:rsidR="00B0724D" w:rsidRDefault="00B0724D">
            <w:pPr>
              <w:rPr>
                <w:rFonts w:ascii="Calibri" w:hAnsi="Calibri" w:cs="Calibri"/>
                <w:color w:val="000000"/>
                <w:sz w:val="18"/>
                <w:szCs w:val="23"/>
              </w:rPr>
            </w:pPr>
          </w:p>
        </w:tc>
      </w:tr>
      <w:tr w:rsidR="00B0724D" w14:paraId="4674AA64" w14:textId="77777777">
        <w:trPr>
          <w:trHeight w:val="407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2B774" w14:textId="77777777" w:rsidR="00B0724D" w:rsidRDefault="00B418F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>LEY ORGÁNICA DEL PRESUPUESTO DECRETO 101-97 2017 ARTÍCULO 17 TER E. CONVENIOS SUSCRITOS</w:t>
            </w:r>
          </w:p>
        </w:tc>
      </w:tr>
      <w:tr w:rsidR="00B0724D" w14:paraId="558B855D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B9A296" w14:textId="77777777" w:rsidR="00B0724D" w:rsidRDefault="00B418F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9F0951" w14:textId="77777777" w:rsidR="00B0724D" w:rsidRDefault="00B418F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 xml:space="preserve">NOMBRE DEL CONVENIO 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354470" w14:textId="77777777" w:rsidR="00B0724D" w:rsidRDefault="00B418F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8F58A0" w14:textId="77777777" w:rsidR="00B0724D" w:rsidRDefault="00B418F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47C717" w14:textId="77777777" w:rsidR="00B0724D" w:rsidRDefault="00B418F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ADBCCF" w14:textId="77777777" w:rsidR="00B0724D" w:rsidRDefault="00B418F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>VIGENCIA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3129EB" w14:textId="77777777" w:rsidR="00B0724D" w:rsidRDefault="00B418F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>FECHA DE SUSCRIPCIÓN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21D23F" w14:textId="77777777" w:rsidR="00B0724D" w:rsidRDefault="00B418F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18"/>
                <w:szCs w:val="23"/>
                <w:lang w:bidi="ar"/>
              </w:rPr>
              <w:t>FECHA DE VENCIMIENTO</w:t>
            </w:r>
          </w:p>
        </w:tc>
      </w:tr>
      <w:tr w:rsidR="00B0724D" w14:paraId="760FA62F" w14:textId="77777777">
        <w:trPr>
          <w:trHeight w:val="181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82FC1" w14:textId="77777777" w:rsidR="00B0724D" w:rsidRDefault="00B418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CD953" w14:textId="77777777" w:rsidR="00B0724D" w:rsidRDefault="00B418F9">
            <w:pPr>
              <w:jc w:val="center"/>
              <w:rPr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Carta de Entendimiento entre el Consejo Nacional de Áreas Protegidas y la Asociación Guatemalteca de Mastozoólogos.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A39AB" w14:textId="77777777" w:rsidR="00B0724D" w:rsidRDefault="00B418F9">
            <w:pPr>
              <w:jc w:val="center"/>
              <w:rPr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 xml:space="preserve">Secretario Ejecutivo del CONAP 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Presidente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 xml:space="preserve"> y Representante Legal de la ASOGUAMA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319E8" w14:textId="77777777" w:rsidR="00B0724D" w:rsidRDefault="00B418F9">
            <w:pPr>
              <w:jc w:val="center"/>
              <w:rPr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Coordinar las acciones conjuntas necesarias para la correct</w:t>
            </w: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 xml:space="preserve">a implementación del proyecto reparación del Cuarto informe Nacional al Protocolo de Cartagena (Proyecto 4IN PC) el cual tiene como objetivo general apoyar en la preparación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Cauarto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 xml:space="preserve"> Informe Nacional de Cumplimiento al Protocolo de Cartagena, que en ade</w:t>
            </w: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 xml:space="preserve">lante podrá ser denominado indistintamente "El Proyecto". 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5A961" w14:textId="77777777" w:rsidR="00B0724D" w:rsidRDefault="00B418F9">
            <w:pPr>
              <w:jc w:val="center"/>
              <w:rPr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Dirección de Valoración y Conservación de la DB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FCEBF" w14:textId="77777777" w:rsidR="00B0724D" w:rsidRDefault="00B418F9">
            <w:pPr>
              <w:jc w:val="center"/>
              <w:rPr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06 meses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B4D6D" w14:textId="77777777" w:rsidR="00B0724D" w:rsidRDefault="00B418F9">
            <w:pPr>
              <w:jc w:val="center"/>
              <w:rPr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02 de marzo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638D9" w14:textId="77777777" w:rsidR="00B0724D" w:rsidRDefault="00B418F9">
            <w:pPr>
              <w:jc w:val="center"/>
              <w:rPr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02 de septiembre de 2022</w:t>
            </w:r>
          </w:p>
        </w:tc>
      </w:tr>
      <w:tr w:rsidR="00B0724D" w14:paraId="13E047EB" w14:textId="77777777">
        <w:trPr>
          <w:trHeight w:val="1813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7529B" w14:textId="77777777" w:rsidR="00B0724D" w:rsidRDefault="00B418F9">
            <w:pPr>
              <w:jc w:val="center"/>
              <w:rPr>
                <w:rFonts w:ascii="Calibri" w:eastAsia="SimSu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31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8F621" w14:textId="77777777" w:rsidR="00B0724D" w:rsidRDefault="00B418F9">
            <w:pPr>
              <w:jc w:val="center"/>
              <w:rPr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Convenio de Uso y Administración del Área denominada Unidad de Conservación "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Tortugario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 xml:space="preserve"> el Paredón", entre la Oficina de Control de Áreas de Reserva del Estado -OCRET- y el Consejo Nacional de Áreas Protegidas -CONAP-. </w:t>
            </w:r>
          </w:p>
        </w:tc>
        <w:tc>
          <w:tcPr>
            <w:tcW w:w="16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70018" w14:textId="77777777" w:rsidR="00B0724D" w:rsidRDefault="00B418F9">
            <w:pPr>
              <w:jc w:val="center"/>
              <w:rPr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 xml:space="preserve">Secretario Ejecutivo del CONAP 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Pre</w:t>
            </w: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sidente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 xml:space="preserve"> y Director de la Oficina de Control de Áreas de Reserva del Estado -OCRET-.</w:t>
            </w:r>
          </w:p>
        </w:tc>
        <w:tc>
          <w:tcPr>
            <w:tcW w:w="52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B63B9" w14:textId="77777777" w:rsidR="00B0724D" w:rsidRDefault="00B418F9">
            <w:pPr>
              <w:jc w:val="center"/>
              <w:rPr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Coordinar el apoyo interinstitucional entre la OCRET y el CONAP respecto al uso y administración del área denominada Unidad de Conservación "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Tortugario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 xml:space="preserve"> el Paredón", ubicada</w:t>
            </w: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 xml:space="preserve"> en Aldea El Paredón del Municipio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Sipacate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 xml:space="preserve">, Departamento de Escuintla, en donde se ubican las instalaciones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totugario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 xml:space="preserve"> para la reproducción de la tortuga marina a cargo de CONAP. 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D833A" w14:textId="77777777" w:rsidR="00B0724D" w:rsidRDefault="00B418F9">
            <w:pPr>
              <w:jc w:val="center"/>
              <w:rPr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Dirección Regional Costa Sur</w:t>
            </w:r>
          </w:p>
        </w:tc>
        <w:tc>
          <w:tcPr>
            <w:tcW w:w="14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02BCD" w14:textId="77777777" w:rsidR="00B0724D" w:rsidRDefault="00B418F9">
            <w:pPr>
              <w:jc w:val="center"/>
              <w:rPr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30 años</w:t>
            </w:r>
          </w:p>
        </w:tc>
        <w:tc>
          <w:tcPr>
            <w:tcW w:w="1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D283F" w14:textId="77777777" w:rsidR="00B0724D" w:rsidRDefault="00B418F9">
            <w:pPr>
              <w:jc w:val="center"/>
              <w:rPr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04 de marzo</w:t>
            </w:r>
          </w:p>
        </w:tc>
        <w:tc>
          <w:tcPr>
            <w:tcW w:w="17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DCB62" w14:textId="77777777" w:rsidR="00B0724D" w:rsidRDefault="00B418F9">
            <w:pPr>
              <w:jc w:val="center"/>
              <w:rPr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val="es-GT"/>
              </w:rPr>
              <w:t>04 de marzo de 2052</w:t>
            </w:r>
          </w:p>
        </w:tc>
      </w:tr>
    </w:tbl>
    <w:p w14:paraId="1E33C9A1" w14:textId="77777777" w:rsidR="00B0724D" w:rsidRDefault="00B0724D">
      <w:pPr>
        <w:rPr>
          <w:sz w:val="18"/>
        </w:rPr>
      </w:pPr>
    </w:p>
    <w:p w14:paraId="43CAF55D" w14:textId="77777777" w:rsidR="00B0724D" w:rsidRDefault="00B0724D">
      <w:pPr>
        <w:rPr>
          <w:sz w:val="18"/>
        </w:rPr>
      </w:pPr>
    </w:p>
    <w:sectPr w:rsidR="00B0724D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02FA" w14:textId="77777777" w:rsidR="00B418F9" w:rsidRDefault="00B418F9">
      <w:r>
        <w:separator/>
      </w:r>
    </w:p>
  </w:endnote>
  <w:endnote w:type="continuationSeparator" w:id="0">
    <w:p w14:paraId="5ED7F276" w14:textId="77777777" w:rsidR="00B418F9" w:rsidRDefault="00B4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01DA" w14:textId="77777777" w:rsidR="00B0724D" w:rsidRDefault="00B418F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41ECB" wp14:editId="016E240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689839" w14:textId="77777777" w:rsidR="00B0724D" w:rsidRDefault="00B418F9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41E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79689839" w14:textId="77777777" w:rsidR="00B0724D" w:rsidRDefault="00B418F9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647A" w14:textId="77777777" w:rsidR="00B418F9" w:rsidRDefault="00B418F9">
      <w:r>
        <w:separator/>
      </w:r>
    </w:p>
  </w:footnote>
  <w:footnote w:type="continuationSeparator" w:id="0">
    <w:p w14:paraId="3749489D" w14:textId="77777777" w:rsidR="00B418F9" w:rsidRDefault="00B4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27FB" w14:textId="77777777" w:rsidR="00B0724D" w:rsidRDefault="00B418F9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16EE7304" wp14:editId="54BF28FC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3ADAA8B1" w14:textId="77777777" w:rsidR="00B0724D" w:rsidRDefault="00B0724D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4D"/>
    <w:rsid w:val="00B0724D"/>
    <w:rsid w:val="00B418F9"/>
    <w:rsid w:val="00F1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C47D"/>
  <w15:docId w15:val="{FEDEF088-93E3-466C-B616-0B2BD085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dcterms:created xsi:type="dcterms:W3CDTF">2022-04-20T18:05:00Z</dcterms:created>
  <dcterms:modified xsi:type="dcterms:W3CDTF">2022-04-20T18:05:00Z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2058-11.2.0.9967</vt:lpwstr>
  </property>
</Properties>
</file>