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13"/>
        <w:gridCol w:w="2905"/>
        <w:gridCol w:w="2605"/>
        <w:gridCol w:w="4911"/>
        <w:gridCol w:w="1331"/>
        <w:gridCol w:w="8"/>
        <w:gridCol w:w="1367"/>
        <w:gridCol w:w="11"/>
        <w:gridCol w:w="1792"/>
        <w:gridCol w:w="1931"/>
        <w:gridCol w:w="236"/>
      </w:tblGrid>
      <w:tr w:rsidR="00E84452" w14:paraId="7B449910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159D68" w14:textId="77777777" w:rsidR="00E84452" w:rsidRDefault="00F123F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E84452" w14:paraId="4A5EBF72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0E570" w14:textId="77777777" w:rsidR="00E84452" w:rsidRDefault="00F123F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DIRECCIÓN: 5TA AVENIDA 6-06 ZONA 1 7 NIVEL EDIFICIO I.P.M GUATEMALA</w:t>
            </w:r>
          </w:p>
        </w:tc>
      </w:tr>
      <w:tr w:rsidR="00E84452" w14:paraId="3F75722C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35660" w14:textId="77777777" w:rsidR="00E84452" w:rsidRDefault="00F123F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E84452" w14:paraId="6AD8DA05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9DEE6" w14:textId="77777777" w:rsidR="00E84452" w:rsidRDefault="00F123F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E84452" w14:paraId="1A5D3730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0E210" w14:textId="77777777" w:rsidR="00E84452" w:rsidRDefault="00F123F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E84452" w14:paraId="7462F649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AE8D5" w14:textId="77777777" w:rsidR="00E84452" w:rsidRDefault="00F123F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E84452" w14:paraId="7CF9B34C" w14:textId="77777777">
        <w:trPr>
          <w:gridAfter w:val="1"/>
          <w:wAfter w:w="10" w:type="dxa"/>
          <w:trHeight w:val="3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F5698" w14:textId="77777777" w:rsidR="00E84452" w:rsidRDefault="00F123F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ACTUALIZACIÓN: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>16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>08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/2021</w:t>
            </w:r>
          </w:p>
        </w:tc>
      </w:tr>
      <w:tr w:rsidR="00E84452" w14:paraId="164232A8" w14:textId="77777777">
        <w:trPr>
          <w:gridAfter w:val="1"/>
          <w:wAfter w:w="10" w:type="dxa"/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05FA7" w14:textId="77777777" w:rsidR="00E84452" w:rsidRDefault="00F123F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>JULIO</w:t>
            </w:r>
          </w:p>
        </w:tc>
      </w:tr>
      <w:tr w:rsidR="00E84452" w14:paraId="3C58519E" w14:textId="77777777">
        <w:trPr>
          <w:gridAfter w:val="1"/>
          <w:wAfter w:w="10" w:type="dxa"/>
          <w:trHeight w:val="18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E1839" w14:textId="77777777" w:rsidR="00E84452" w:rsidRDefault="00E844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3F73B" w14:textId="77777777" w:rsidR="00E84452" w:rsidRDefault="00E844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078EF" w14:textId="77777777" w:rsidR="00E84452" w:rsidRDefault="00E844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5540" w14:textId="77777777" w:rsidR="00E84452" w:rsidRDefault="00E844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F255B" w14:textId="77777777" w:rsidR="00E84452" w:rsidRDefault="00E844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8FB3D" w14:textId="77777777" w:rsidR="00E84452" w:rsidRDefault="00E844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B2236" w14:textId="77777777" w:rsidR="00E84452" w:rsidRDefault="00E844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C3D4C" w14:textId="77777777" w:rsidR="00E84452" w:rsidRDefault="00E844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4452" w14:paraId="6935E68F" w14:textId="77777777">
        <w:trPr>
          <w:gridAfter w:val="1"/>
          <w:wAfter w:w="10" w:type="dxa"/>
          <w:trHeight w:val="6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FFF67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E84452" w14:paraId="76CF2CC5" w14:textId="77777777">
        <w:trPr>
          <w:gridAfter w:val="1"/>
          <w:wAfter w:w="10" w:type="dxa"/>
          <w:trHeight w:val="630"/>
        </w:trPr>
        <w:tc>
          <w:tcPr>
            <w:tcW w:w="56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3DAFB7A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294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2EE5702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NOMBRE DEL CONVENIO 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C8C997A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18E8CE8A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3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484938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0E2DAEF5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D96AB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A9D14B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E84452" w14:paraId="4A129216" w14:textId="77777777">
        <w:trPr>
          <w:gridAfter w:val="1"/>
          <w:wAfter w:w="10" w:type="dxa"/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F56B98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2D5A98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Convenio de Cooperación - Compensación a Conservación entre el Consejo Nacional de Áreas Protegidas -CONAP-, la Municipalidad de Uspantán y la Asociación para el Desarrollo Integral de la Gloria -ASODIG- del Municipio de Uspatán, Departamento de Q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uiché, en el marco del Programa de Compensación a Conservación del Proyecto Consolidación del Sistema Guatemalteco de Áreas Protegidas Life Web -Kfw-.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F951C9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Secretario Ejecutivo del CONAP, Alcalde Municipal del municipio de Uspantán, departamento de Quiché y Pre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sidente de la Junta Directiva y Representante Legal de la Asociación para el Desarrollo Integral de la Gloria.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C35A53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El objetivo del presente Convenio de Cooperación Compensación a Conservación es el pago y la administración de los fondos del Programa de Compens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ación a Conservación, asignados por el CONAP para la protección y conservación de la Reserva Natural Privada “La Gloria o Vega del Satán”, ubicada en el municipio de Uspantán del departamento de Quiché y destinados a financiar las actividades - acordadas m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ediante el Plan de Inversión y Conservación adjunto -presentado por la Asociación -ASODIG- y a ser realizadas por el Ejecutor, el Gobierno Municipal de Uspantán, en beneficio de la Asociación para el Desarrollo Integral de La Gloria, de conformidad con el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acta de asamblea número diez guión dos mil veinte (10-2020) de fecha catorce (14) de junio del año dos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lastRenderedPageBreak/>
              <w:t>mil veinte (2020), suscrita por las autoridades y junta directiva de la Asociación para el Desarrollo Integral de La Gloria ASODIG de la comunidad La Glo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ria y Acuerdo Municipal contenido en el Acta número treinta y cinco guion dos mil veinte (35-2020) de fecha dieciocho (18) de junio del año dos mil veinte (2020).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6CCE82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lastRenderedPageBreak/>
              <w:t>Dirección Regional Noroccidente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3B3F72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01 año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FDD9AD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15 de marzo de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946C7C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15 de marzo de 2022</w:t>
            </w:r>
          </w:p>
        </w:tc>
      </w:tr>
      <w:tr w:rsidR="00E84452" w14:paraId="4F5E53C8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7B2E72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B1A27C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Convenio de Cooperación - Compensación a Conservación entre el Consejo Nacional de Áreas Protegidas -CONAP- y la Municipalidad de Jacaltenango, Departamento de Huehuetenango, en beneficio de la Comunidad Aldea COM, en el marco del Programa de Compensación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a Conservación del Proyecto Consolidación del Sistema Guatemalteco de Áreas Protegidas Life Web -Kfw-.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B32512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Secretario Ejecutivo del CONAP y Alcalde del Municipio de Jacaltenango, Huehuetenango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A1FBF5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El objetivo del presente Convenio de Cooperación – Compensación a C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onservación es el pago y la administración de los fondos del Programa de Compensación a Conservación, asignados por el CONAP por la protección y conservación del Parque Regional Municipal “Bosque Tz’ahab’ Tonh”, destinados a financiar las actividades - aco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rdadas mediante el plan de Inversión adjunto - y a ser realizadas por el Ejecutor, el Gobierno Municipal del municipio de Jacaltenango departamento de Huehuetenango, en beneficio de la aldea Com del municipio de Jacaltenango departamento de Huehuetenango.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4BA65F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Dirección Regional Noroccidente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3A3F1D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val="es-GT"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01 año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9402A4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29 de marzo de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3635E1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29 de marzo de 2022</w:t>
            </w:r>
          </w:p>
        </w:tc>
        <w:tc>
          <w:tcPr>
            <w:tcW w:w="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BDCC96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</w:tr>
      <w:tr w:rsidR="00E84452" w14:paraId="2D0C955C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C10FD2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88E845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Convenio de Cooperación Interinstitucional entre el Ministerio de Educación y el Consejo Nacional de Áreas Protegidas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437801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Ministra de Educación y Secretario Ejecutivo del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CONAP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5FAF81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Establecer las bases generales de coordinación entre el Ministerio y el CONAP para: a) Fortalecer la implementación del Currículo Nacional Base (CNB), en materi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val="es-GT" w:bidi="ar"/>
              </w:rPr>
              <w:t>a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de áreas protegidas, diversidad biológica y los conocimientos tradicionales asociados a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esta. b) Promover la implementación del programa educativo "Educación para la Conservación de las Áreas Protegidas y la Diversidad Biológica (EDUCONAP)" de el CONAP. c) Coordinar y proponer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lastRenderedPageBreak/>
              <w:t>campañas, programas y proyectos educativos conjuntos, que coadyuve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n al desarrollo sostenible con énfasis en la mitigación y adaptación al cambio climático. d) Facilitar el acceso a la educación extraescolar para los guardarrecursos que no hayan podido culminar sus estudios en los Niveles de Educación Primaria y Media.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DCCC57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lastRenderedPageBreak/>
              <w:t>DE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DS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9815B4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val="es-GT"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04 años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8543AE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19 de mayo de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8220E9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19 de mayo de 2025</w:t>
            </w:r>
          </w:p>
        </w:tc>
        <w:tc>
          <w:tcPr>
            <w:tcW w:w="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35550D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3</w:t>
            </w:r>
          </w:p>
        </w:tc>
      </w:tr>
      <w:tr w:rsidR="00E84452" w14:paraId="559347CE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CAC8C1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848841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Carta de Entendim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val="es-GT" w:bidi="ar"/>
              </w:rPr>
              <w:t>i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ento entre el Consejo Nacional de Áreas Protegidas -CONAP- y el Centro de Estudios para el Desarrollo y la Cooperación -CEDEC-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6BEDEB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Secretario Ejecutivo del CONAP y Director y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Representante Legal de CEDEC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933514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El objeto de la presente es coordinar las acciones conjuntas necesarias para la correcta implementación del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br/>
              <w:t>PROYECTO PREPARACIÓN DEL CUARTO INFORMES NACIONALE AL PROTOCOLO DE CARTAGENA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br/>
              <w:t>(PROYECTO 4IN PC) el cual tiene como objet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ivo general apoyar en la preparación del Cuarto Informe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br/>
              <w:t>Nacional de Cumplimiento al Protocolo de Cartagena, que en adelante podrá ser denominado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br/>
              <w:t>indistintamente “EL PROYECTO”.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67F88A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DVCB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B6896A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val="es-GT"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08 meses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C2AC0F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07 de junio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4F7B5C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07 de febrero de 2022</w:t>
            </w:r>
          </w:p>
        </w:tc>
        <w:tc>
          <w:tcPr>
            <w:tcW w:w="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3C764E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4</w:t>
            </w:r>
          </w:p>
        </w:tc>
      </w:tr>
      <w:tr w:rsidR="00E84452" w14:paraId="4E521840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368FE4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3AE070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Adenda Número Uno al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Convenio De Cooperación - Compensación a Conservación Número Tres Diagonal Dos Mil Diecinueve (3/2019) Suscrito Entre El Consejo Nacional De Áreas Protegidas -C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val="es-GT" w:bidi="ar"/>
              </w:rPr>
              <w:t>ONAP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- y la Municipalidad de San Juan Atitán del Departamento de Huehuetenango en Beneficio del C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entro Turístico Twi A’Lj Witz, San Juan Atitán, Huehuetenango y la Oficina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lastRenderedPageBreak/>
              <w:t>Forestal Del Municipio de San Juan Atitán, Departamento de Huehuetenango; en el Marco del Programa de Compensación a Conservación del Proyecto Consolidación del Sistema Guatemalteco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de Áreas Protegidas Life Web -Kfw-.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C114E3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lastRenderedPageBreak/>
              <w:t>Secretario Ejecutivo del CONAP y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br/>
              <w:t>Alcalde Municipal del Municipio de San Juan Atitán, Departamento de Huehuetenango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4B0707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El objeto de la presente Adenda es la prórroga del plazo del Convenio de Cooperación - Compensación a Co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nservación número tres diagonal dos mil diecinueve (3/2019), suscrito el día veintinueve (29) de agosto del año dos mil diecinueve (2019), entre el Consejo Nacional de Áreas Protegidas y la Municipalidad de San Juan Atitán del departamento de Huehuetenango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, por el término de seis (6) meses más, a partir del cumplimiento de los doce (12) meses de plazo establecido por dicho Convenio; en ese sentido, se estipula a través del presente instrumento, de común acuerdo entre las partes suscriptoras, la prórroga del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plazo máximo para la entrega de la rendición de cuentas final del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lastRenderedPageBreak/>
              <w:t>financiamiento objeto del referido Convenio, hasta el día veinticuatro (24) de diciembre del año dos mil veintiuno (2021).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598B15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lastRenderedPageBreak/>
              <w:t>Dirección Regional Noroccidente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398211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val="es-GT"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06 meses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3F8D0E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23 de junio de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134BD9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24 de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diciembre de 2021</w:t>
            </w:r>
          </w:p>
        </w:tc>
        <w:tc>
          <w:tcPr>
            <w:tcW w:w="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517DC1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</w:tr>
      <w:tr w:rsidR="00E84452" w14:paraId="5A87FE4D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791F80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BA3995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Convenio de Cooperación – Compensación a Conservación entre el Consejo Nacional de Áreas Protegidas -CONAP- y la Municipalidad de Jacaltenango del Departamento de Huehuetenango en beneficio de la Comunidad Aldea Buxup, del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Municipio de Jacaltenango Departamento de Huehuetenango; en el Marco del Programa de Compensación a Conservación del Proyecto Consolidación del Sistema Guatemalteco de Áreas Protegidas LIFE WEB -KFW-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3FD8ED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Secretario Ejecutivo del CONAP y Alcalde del Municipio d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 Jacaltenango, Huehuetenango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71E719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El objetivo del presente Convenio de Cooperación – Compensación a Conservación es el pago y la administración de los fondos del Programa de Compensación a Conservación, asignados por el CONAP por la protección y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conservación del Parque Regional Municipal “Bosque Palewitz”, destinados a financiar las actividades - acordadas mediante el plan de Inversión adjunto - y a ser realizadas por el Ejecutor, el Gobierno Municipal del municipio de Jacaltenango departamento de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Huehuetenango, en beneficio de la aldea Buxup del municipio de Jacaltenango, departamento de Huehuetenango.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BB6C3E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Dirección Regional Noroccidente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F346F47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val="es-GT"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01 año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DBEB9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02 de julio de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AAA76F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02 de julio de 2022</w:t>
            </w:r>
          </w:p>
        </w:tc>
        <w:tc>
          <w:tcPr>
            <w:tcW w:w="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E61A34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6</w:t>
            </w:r>
          </w:p>
        </w:tc>
      </w:tr>
      <w:tr w:rsidR="00E84452" w14:paraId="6CACD1FF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33BFC4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509C58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Convenio de Cooperación Interinstitucional entre el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Viceministerio de Patrimonio Cultural y Natural, el Consejo Nacional de Áreas Protegidas y la Asociación para el Desarrollo Sostenible del Territorio de Yaxhá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8AA327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Ministro de Cultura y Deporte, Secretario Ejecutivo del CONAP y Presidente de la Junta Directiva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y Representante Legal de ASODESTY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A1D813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Establecer un mecanismo de coordinación, para la ejecución de las actividades de manejo del área protegida así como para la atención y la prestación de servicios a los visitantes del Parque Nacional Yaxhá, Nakum, Naranjo e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n general, que brinde oportunidades a las comunidades aledañas y su área de influencia, como una alternativa de desarrollo local.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EB20A0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Dirección Regional Petén/Parque Nacional YAXHÁ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4F7E28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val="es-GT"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05 años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A78AD1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09 de julio de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8535F0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09 de julio de 2026</w:t>
            </w:r>
          </w:p>
        </w:tc>
        <w:tc>
          <w:tcPr>
            <w:tcW w:w="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731301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7</w:t>
            </w:r>
          </w:p>
        </w:tc>
      </w:tr>
      <w:tr w:rsidR="00E84452" w14:paraId="3AA77CAF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010C2A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3C69B8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Convenio Marco de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Cooperación y Coordinación entre el Consejo Nacional de Áreas Protegidas -CONAP- y la Fundación para el Ecodesarrollo y la Conservación –FUNDAECO–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B0961A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Secretario Ejecutivo del CONAP y Representante Legal de FUNDAECO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7B50C4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El presente Convenio Marco de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br/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Cooperación y Coordinación tiene como objeto formalizar la alianza estratégica entre ambas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br/>
              <w:t>instituciones con la finalidad de establecer los principales ejes de cooperación y mecanismos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br/>
              <w:t>de coordinación para desarrollar y ejecutar conjuntamente acciones, pla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nes y proyectos que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br/>
              <w:t>contribuyan a la protección y conservación de las Áreas Protegidas y áreas naturales de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br/>
              <w:t>importancia para la conservación de la Diversidad Biológica de Guatemala.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6D64991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Unidad de Asuntos Técnicos Regional / SIGAP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D11BC4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val="es-GT"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05 años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22EABE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30 de julio de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94723B" w14:textId="77777777" w:rsidR="00E84452" w:rsidRDefault="00F123FB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30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de julio de 2026</w:t>
            </w:r>
          </w:p>
        </w:tc>
        <w:tc>
          <w:tcPr>
            <w:tcW w:w="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EF4144" w14:textId="77777777" w:rsidR="00E84452" w:rsidRDefault="00F123FB">
            <w:pPr>
              <w:jc w:val="center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8</w:t>
            </w:r>
          </w:p>
        </w:tc>
      </w:tr>
    </w:tbl>
    <w:p w14:paraId="46671B24" w14:textId="77777777" w:rsidR="00E84452" w:rsidRDefault="00E84452"/>
    <w:p w14:paraId="7C891E8C" w14:textId="77777777" w:rsidR="00E84452" w:rsidRDefault="00E84452"/>
    <w:p w14:paraId="3365E555" w14:textId="77777777" w:rsidR="00E84452" w:rsidRDefault="00E84452"/>
    <w:tbl>
      <w:tblPr>
        <w:tblW w:w="15630" w:type="dxa"/>
        <w:tblInd w:w="93" w:type="dxa"/>
        <w:tblLook w:val="04A0" w:firstRow="1" w:lastRow="0" w:firstColumn="1" w:lastColumn="0" w:noHBand="0" w:noVBand="1"/>
      </w:tblPr>
      <w:tblGrid>
        <w:gridCol w:w="5584"/>
        <w:gridCol w:w="4215"/>
        <w:gridCol w:w="1635"/>
        <w:gridCol w:w="1296"/>
        <w:gridCol w:w="1365"/>
        <w:gridCol w:w="1545"/>
      </w:tblGrid>
      <w:tr w:rsidR="00E84452" w14:paraId="503D147C" w14:textId="77777777">
        <w:trPr>
          <w:trHeight w:val="300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BCD1C" w14:textId="77777777" w:rsidR="00E84452" w:rsidRDefault="00F123FB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Marla Mercedes Bolvito Jerónimo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A635" w14:textId="77777777" w:rsidR="00E84452" w:rsidRDefault="00E844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CFC78" w14:textId="77777777" w:rsidR="00E84452" w:rsidRDefault="00E844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70CB" w14:textId="77777777" w:rsidR="00E84452" w:rsidRDefault="00E844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9F67B" w14:textId="77777777" w:rsidR="00E84452" w:rsidRDefault="00E844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1CB9E" w14:textId="77777777" w:rsidR="00E84452" w:rsidRDefault="00E844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4452" w14:paraId="78C1A85B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B9B4" w14:textId="77777777" w:rsidR="00E84452" w:rsidRDefault="00F123FB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Encargada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145F" w14:textId="77777777" w:rsidR="00E84452" w:rsidRDefault="00F123FB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Vo.Bo.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63C27" w14:textId="77777777" w:rsidR="00E84452" w:rsidRDefault="00E844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947D" w14:textId="77777777" w:rsidR="00E84452" w:rsidRDefault="00E844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3DAE" w14:textId="77777777" w:rsidR="00E84452" w:rsidRDefault="00E844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1ED84" w14:textId="77777777" w:rsidR="00E84452" w:rsidRDefault="00E844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864AF3C" w14:textId="77777777" w:rsidR="00E84452" w:rsidRDefault="00E84452"/>
    <w:sectPr w:rsidR="00E84452">
      <w:headerReference w:type="default" r:id="rId7"/>
      <w:footerReference w:type="default" r:id="rId8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8A4A" w14:textId="77777777" w:rsidR="00F123FB" w:rsidRDefault="00F123FB">
      <w:r>
        <w:separator/>
      </w:r>
    </w:p>
  </w:endnote>
  <w:endnote w:type="continuationSeparator" w:id="0">
    <w:p w14:paraId="0383C835" w14:textId="77777777" w:rsidR="00F123FB" w:rsidRDefault="00F1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72D9" w14:textId="77777777" w:rsidR="00E84452" w:rsidRDefault="00F123F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DD6CA" wp14:editId="1895DC7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7E6AC" w14:textId="77777777" w:rsidR="00E84452" w:rsidRDefault="00F123FB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DD6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INk5IRYAgAAEAUAAA4AAAAAAAAAAAAAAAAALgIAAGRycy9lMm9Eb2MueG1sUEsBAi0AFAAG&#10;AAgAAAAhAHGq0bnXAAAABQEAAA8AAAAAAAAAAAAAAAAAsgQAAGRycy9kb3ducmV2LnhtbFBLBQYA&#10;AAAABAAEAPMAAAC2BQAAAAA=&#10;" filled="f" stroked="f" strokeweight=".5pt">
              <v:textbox style="mso-fit-shape-to-text:t" inset="0,0,0,0">
                <w:txbxContent>
                  <w:p w14:paraId="4837E6AC" w14:textId="77777777" w:rsidR="00E84452" w:rsidRDefault="00F123FB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8448" w14:textId="77777777" w:rsidR="00F123FB" w:rsidRDefault="00F123FB">
      <w:r>
        <w:separator/>
      </w:r>
    </w:p>
  </w:footnote>
  <w:footnote w:type="continuationSeparator" w:id="0">
    <w:p w14:paraId="5E604CF3" w14:textId="77777777" w:rsidR="00F123FB" w:rsidRDefault="00F1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1197" w14:textId="77777777" w:rsidR="00E84452" w:rsidRDefault="00F123FB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5F7EC792" wp14:editId="1DBB07FA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4B37F3"/>
    <w:rsid w:val="00C32BA8"/>
    <w:rsid w:val="00E84452"/>
    <w:rsid w:val="00F123FB"/>
    <w:rsid w:val="0D846408"/>
    <w:rsid w:val="0E52314D"/>
    <w:rsid w:val="234B37F3"/>
    <w:rsid w:val="3047126D"/>
    <w:rsid w:val="42545540"/>
    <w:rsid w:val="45280E35"/>
    <w:rsid w:val="48CE2759"/>
    <w:rsid w:val="5256420F"/>
    <w:rsid w:val="56355516"/>
    <w:rsid w:val="6D4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F01B6"/>
  <w15:docId w15:val="{2265FB9B-96A1-4D63-8F7A-1AEA583F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8063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2021-03-04T17:37:00Z</cp:lastPrinted>
  <dcterms:created xsi:type="dcterms:W3CDTF">2022-02-25T15:37:00Z</dcterms:created>
  <dcterms:modified xsi:type="dcterms:W3CDTF">2022-02-25T15:37:00Z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