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9,219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51,399,258.46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9,219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51,399,258.46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1,002,653.68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539,186.23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41,680.57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122,612.85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138,542.50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40,407.00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9,068,316.09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950,271.73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1,581,259.38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34,804.40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432,540.00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122,649.00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937,450.00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1,459,939.20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598,720.00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215,063.37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120,262.50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 UNIDAD EJECUTORA*</w:t>
            </w:r>
          </w:p>
        </w:tc>
        <w:tc>
          <w:tcPr>
            <w:tcW w:w="4492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BIENES</w:t>
            </w:r>
          </w:p>
        </w:tc>
        <w:tc>
          <w:tcPr>
            <w:tcW w:w="143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899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447,856.12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1,483,127.02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446,322.56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512,450.86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 w:line="453" w:lineRule="auto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 PIZARRON</w:t>
            </w:r>
          </w:p>
          <w:p>
            <w:pPr>
              <w:pStyle w:val="7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3,601,339.32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772,615.35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220,274.88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653,012.56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  <w:p>
            <w:pPr>
              <w:pStyle w:val="7"/>
              <w:spacing w:before="1" w:line="390" w:lineRule="atLeast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 ENCARGOLADORA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192,097.64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1,162,028.26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59,059.22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1,885,440.44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 DE 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 DE 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374,840.02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7,653.40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969,601.52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 w:line="453" w:lineRule="auto"/>
              <w:ind w:left="704" w:right="4928"/>
              <w:jc w:val="left"/>
              <w:rPr>
                <w:sz w:val="18"/>
              </w:rPr>
            </w:pPr>
            <w:r>
              <w:rPr>
                <w:sz w:val="18"/>
              </w:rPr>
              <w:t>CAMIONETA SPORT OTROS AUTOMOVILES</w:t>
            </w:r>
          </w:p>
          <w:p>
            <w:pPr>
              <w:pStyle w:val="7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9,219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51,399,258.46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4/10/2021</w:t>
                          </w:r>
                        </w:p>
                        <w:p>
                          <w:pPr>
                            <w:spacing w:before="79"/>
                            <w:ind w:left="88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9:26.16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4/10/2021</w:t>
                    </w:r>
                  </w:p>
                  <w:p>
                    <w:pPr>
                      <w:spacing w:before="79"/>
                      <w:ind w:left="8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9:26.16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30/09/2021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30/09/2021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02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2021-10-04T15:30:00Z</dcterms:created>
  <dc:creator>mlequite</dc:creator>
  <cp:lastModifiedBy>mlequite</cp:lastModifiedBy>
  <dcterms:modified xsi:type="dcterms:W3CDTF">2021-10-04T15:29:06Z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